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3A" w:rsidRPr="00A9513A" w:rsidRDefault="00B63372" w:rsidP="00A9513A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Lezione 100</w:t>
      </w:r>
      <w:bookmarkStart w:id="0" w:name="_GoBack"/>
      <w:bookmarkEnd w:id="0"/>
      <w:r w:rsidR="00A9513A" w:rsidRPr="00A9513A">
        <w:rPr>
          <w:b/>
          <w:bCs/>
          <w:sz w:val="36"/>
          <w:szCs w:val="36"/>
        </w:rPr>
        <w:t xml:space="preserve"> </w:t>
      </w:r>
      <w:r w:rsidR="00A9513A" w:rsidRPr="00A9513A">
        <w:rPr>
          <w:b/>
          <w:sz w:val="36"/>
          <w:szCs w:val="36"/>
        </w:rPr>
        <w:t>L’area dei quadrilateri con diagonali perpendicolari</w:t>
      </w:r>
    </w:p>
    <w:p w:rsidR="004E14C7" w:rsidRDefault="00A9513A">
      <w:r w:rsidRPr="00A9513A">
        <w:rPr>
          <w:noProof/>
          <w:lang w:eastAsia="it-IT"/>
        </w:rPr>
        <w:drawing>
          <wp:inline distT="0" distB="0" distL="0" distR="0" wp14:anchorId="2BE3F85C" wp14:editId="63BBB6B0">
            <wp:extent cx="6120130" cy="4139005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513A" w:rsidRDefault="00A9513A">
      <w:r w:rsidRPr="00A9513A">
        <w:rPr>
          <w:noProof/>
          <w:lang w:eastAsia="it-IT"/>
        </w:rPr>
        <w:drawing>
          <wp:inline distT="0" distB="0" distL="0" distR="0" wp14:anchorId="393FB2C5" wp14:editId="5BBA092E">
            <wp:extent cx="6120130" cy="1238510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513A" w:rsidRDefault="00A9513A">
      <w:r w:rsidRPr="00A9513A">
        <w:rPr>
          <w:noProof/>
          <w:lang w:eastAsia="it-IT"/>
        </w:rPr>
        <w:drawing>
          <wp:inline distT="0" distB="0" distL="0" distR="0" wp14:anchorId="4D1A46DE" wp14:editId="041D9B41">
            <wp:extent cx="6120130" cy="1941233"/>
            <wp:effectExtent l="0" t="0" r="0" b="190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95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3A"/>
    <w:rsid w:val="004E14C7"/>
    <w:rsid w:val="00A9513A"/>
    <w:rsid w:val="00B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2020-03-14T21:23:00Z</dcterms:created>
  <dcterms:modified xsi:type="dcterms:W3CDTF">2020-03-14T23:11:00Z</dcterms:modified>
</cp:coreProperties>
</file>